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628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5"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6"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7"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8"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lastRenderedPageBreak/>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9"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0"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11"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12"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15"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6"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17"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18"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19"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20"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1"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xml:space="preserve">). This is an important action, as </w:t>
      </w:r>
      <w:r w:rsidRPr="007964D9">
        <w:rPr>
          <w:rFonts w:asciiTheme="minorHAnsi" w:hAnsiTheme="minorHAnsi" w:cstheme="minorHAnsi"/>
          <w:color w:val="000000"/>
          <w:sz w:val="22"/>
          <w:szCs w:val="22"/>
        </w:rPr>
        <w:lastRenderedPageBreak/>
        <w:t>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2"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3"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4"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25"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26"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xml:space="preserve"> is that </w:t>
      </w:r>
      <w:r w:rsidRPr="007964D9">
        <w:rPr>
          <w:rFonts w:asciiTheme="minorHAnsi" w:hAnsiTheme="minorHAnsi" w:cstheme="minorHAnsi"/>
          <w:color w:val="000000"/>
          <w:sz w:val="22"/>
          <w:szCs w:val="22"/>
        </w:rPr>
        <w:lastRenderedPageBreak/>
        <w:t>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27"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28"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9"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30"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31"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32"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5"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36"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xml:space="preserve"> for those that return to Canada after travelling abroad - </w:t>
      </w:r>
      <w:r w:rsidRPr="007964D9">
        <w:rPr>
          <w:rFonts w:asciiTheme="minorHAnsi" w:hAnsiTheme="minorHAnsi" w:cstheme="minorHAnsi"/>
          <w:color w:val="000000"/>
          <w:sz w:val="22"/>
          <w:szCs w:val="22"/>
        </w:rPr>
        <w:lastRenderedPageBreak/>
        <w:t>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37"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38"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39"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40"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41"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42"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43"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44"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45"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46"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47"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48"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49"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0"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51"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2"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53"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We are happy to state that the BCCDC is reporting a positive trajectory in the key pandemic indicators they monitor (cases and hospitalizations). The Ministry of Education (MoE) is also </w:t>
      </w:r>
      <w:r w:rsidRPr="00F570F5">
        <w:rPr>
          <w:rFonts w:asciiTheme="minorHAnsi" w:hAnsiTheme="minorHAnsi" w:cstheme="minorHAnsi"/>
          <w:color w:val="000000"/>
          <w:sz w:val="22"/>
          <w:szCs w:val="22"/>
        </w:rPr>
        <w:lastRenderedPageBreak/>
        <w:t>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54"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55"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xml:space="preserve"> (PPE). The MoE has received a large donation of PPE (disposable masks, gloves, face shields, gowns, sanitizers) which will be made available to schools and districts upon request. Look for an announcement soon with details as how to order PPE </w:t>
      </w:r>
      <w:r w:rsidRPr="00F570F5">
        <w:rPr>
          <w:rFonts w:asciiTheme="minorHAnsi" w:hAnsiTheme="minorHAnsi" w:cstheme="minorHAnsi"/>
          <w:color w:val="000000"/>
          <w:sz w:val="22"/>
          <w:szCs w:val="22"/>
        </w:rPr>
        <w:lastRenderedPageBreak/>
        <w:t>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56"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7"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7964D9"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58"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 xml:space="preserve">comprised of representatives from each of the five associations, in order to ensure that our interactions with government in this area </w:t>
      </w:r>
      <w:r w:rsidRPr="00F570F5">
        <w:rPr>
          <w:rFonts w:asciiTheme="minorHAnsi" w:hAnsiTheme="minorHAnsi" w:cstheme="minorHAnsi"/>
          <w:color w:val="000000"/>
          <w:sz w:val="22"/>
          <w:szCs w:val="22"/>
        </w:rPr>
        <w:lastRenderedPageBreak/>
        <w:t>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59"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60"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61"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6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63"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64"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65"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66"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67"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68"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6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70"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71"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72"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73"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74"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lastRenderedPageBreak/>
        <w:t>Register in advance for this meeting:</w:t>
      </w:r>
      <w:r w:rsidRPr="00B44E09">
        <w:rPr>
          <w:rFonts w:asciiTheme="minorHAnsi" w:hAnsiTheme="minorHAnsi" w:cstheme="minorHAnsi"/>
          <w:color w:val="222222"/>
          <w:sz w:val="22"/>
          <w:szCs w:val="22"/>
        </w:rPr>
        <w:br/>
      </w:r>
      <w:hyperlink r:id="rId75"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76"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77"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78"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79"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80"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81"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82"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83"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84"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85"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86"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87"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88"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89"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90"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91"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92"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93"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94"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95"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96"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7964D9" w:rsidP="00A6486A">
      <w:pPr>
        <w:shd w:val="clear" w:color="auto" w:fill="FFFFFF"/>
        <w:ind w:left="284"/>
        <w:rPr>
          <w:rFonts w:asciiTheme="minorHAnsi" w:hAnsiTheme="minorHAnsi" w:cstheme="minorHAnsi"/>
          <w:color w:val="222222"/>
          <w:sz w:val="22"/>
          <w:szCs w:val="22"/>
        </w:rPr>
      </w:pPr>
      <w:hyperlink r:id="rId97"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98"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99"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100"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101"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102"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103"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7964D9" w:rsidP="005C5787">
      <w:pPr>
        <w:shd w:val="clear" w:color="auto" w:fill="FFFFFF"/>
        <w:ind w:left="284"/>
        <w:rPr>
          <w:rFonts w:asciiTheme="minorHAnsi" w:hAnsiTheme="minorHAnsi" w:cstheme="minorHAnsi"/>
          <w:color w:val="222222"/>
          <w:sz w:val="22"/>
          <w:szCs w:val="22"/>
        </w:rPr>
      </w:pPr>
      <w:hyperlink r:id="rId104"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105"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lastRenderedPageBreak/>
        <w:t>·  Hand sanitizer 250 ml – 268 cases (25 bottles per case) </w:t>
      </w:r>
      <w:hyperlink r:id="rId106"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107"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108"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109"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xml:space="preserve"> (for Catholic schools or others with a superintendent structure – IS leaders do not consult with the public school superintendent). Our experience over these last 2 weeks is that IS prioritize continuity of learning but in some </w:t>
      </w:r>
      <w:r w:rsidRPr="005C5787">
        <w:rPr>
          <w:rFonts w:asciiTheme="minorHAnsi" w:hAnsiTheme="minorHAnsi" w:cstheme="minorHAnsi"/>
          <w:color w:val="000000"/>
          <w:sz w:val="22"/>
          <w:szCs w:val="22"/>
        </w:rPr>
        <w:lastRenderedPageBreak/>
        <w:t>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110"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111"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12"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113"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114"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115"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116"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17"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118"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119"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120"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This first week after the delayed K-12 restart has reinforced that BC schools play an important role in the health and wellness of the communities we serve. The Omicron virus is prevalent in communities and is far more infectious than previous COVID-19 variants. However, </w:t>
      </w:r>
      <w:r w:rsidRPr="005C5787">
        <w:rPr>
          <w:rFonts w:asciiTheme="minorHAnsi" w:hAnsiTheme="minorHAnsi" w:cstheme="minorHAnsi"/>
          <w:color w:val="000000"/>
          <w:sz w:val="22"/>
          <w:szCs w:val="22"/>
          <w:lang w:val="en-US"/>
        </w:rPr>
        <w:lastRenderedPageBreak/>
        <w:t>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121"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22"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23"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lastRenderedPageBreak/>
        <w:t>As communicated earlier this week, here is the link to the recently published 2021-2022 </w:t>
      </w:r>
      <w:hyperlink r:id="rId124"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125"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126"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127"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128"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129"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0" w:name="m_-4631250332233867144_m_-40588011562886"/>
      <w:bookmarkEnd w:id="0"/>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xml:space="preserve"> provides directions for schools as the public health management of COVID has changed in BC. FISA has received many inquiries looking for clarification on </w:t>
      </w:r>
      <w:r w:rsidRPr="005C5787">
        <w:rPr>
          <w:rFonts w:asciiTheme="minorHAnsi" w:hAnsiTheme="minorHAnsi" w:cstheme="minorHAnsi"/>
          <w:color w:val="000000"/>
          <w:sz w:val="22"/>
          <w:szCs w:val="22"/>
          <w:shd w:val="clear" w:color="auto" w:fill="FFFFFF"/>
          <w:lang w:val="en-US"/>
        </w:rPr>
        <w:lastRenderedPageBreak/>
        <w:t>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30"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131"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132"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133"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134"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135"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136"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xml:space="preserve"> document that should be made available to schools tomorrow. Thank you for your patience and I ask that you please recognize that this will be a living </w:t>
      </w:r>
      <w:r w:rsidRPr="00A21DD6">
        <w:rPr>
          <w:rFonts w:asciiTheme="minorHAnsi" w:hAnsiTheme="minorHAnsi" w:cstheme="minorHAnsi"/>
          <w:color w:val="222222"/>
          <w:sz w:val="22"/>
          <w:szCs w:val="22"/>
        </w:rPr>
        <w:lastRenderedPageBreak/>
        <w:t>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37"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138"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139"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lastRenderedPageBreak/>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7964D9" w:rsidP="00341D15">
      <w:pPr>
        <w:shd w:val="clear" w:color="auto" w:fill="FFFFFF"/>
        <w:spacing w:line="288" w:lineRule="atLeast"/>
        <w:ind w:firstLine="720"/>
        <w:rPr>
          <w:rFonts w:asciiTheme="minorHAnsi" w:hAnsiTheme="minorHAnsi" w:cstheme="minorHAnsi"/>
          <w:color w:val="222222"/>
          <w:sz w:val="22"/>
          <w:szCs w:val="22"/>
        </w:rPr>
      </w:pPr>
      <w:hyperlink r:id="rId140"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141"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 xml:space="preserve">Historically independent school </w:t>
      </w:r>
      <w:r w:rsidRPr="00341D15">
        <w:rPr>
          <w:rFonts w:asciiTheme="minorHAnsi" w:hAnsiTheme="minorHAnsi" w:cstheme="minorHAnsi"/>
          <w:color w:val="000000"/>
          <w:sz w:val="22"/>
          <w:szCs w:val="22"/>
          <w:lang w:val="en-US"/>
        </w:rPr>
        <w:lastRenderedPageBreak/>
        <w:t>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142"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143"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144"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145"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lastRenderedPageBreak/>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146"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147"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148"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149"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150"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1" w:name="m_-9144370908789058787__Hlk90568498"/>
      <w:r w:rsidRPr="009809F7">
        <w:rPr>
          <w:rFonts w:ascii="Calibri" w:hAnsi="Calibri" w:cs="Calibri"/>
          <w:b/>
          <w:bCs/>
          <w:color w:val="222222"/>
          <w:sz w:val="22"/>
          <w:szCs w:val="22"/>
          <w:u w:val="single"/>
        </w:rPr>
        <w:t>Virtual Regional Tour</w:t>
      </w:r>
      <w:bookmarkEnd w:id="1"/>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lastRenderedPageBreak/>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151"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152"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153"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lastRenderedPageBreak/>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154"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155"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156"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157"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158"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lastRenderedPageBreak/>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7964D9" w:rsidP="00744CB6">
      <w:pPr>
        <w:numPr>
          <w:ilvl w:val="0"/>
          <w:numId w:val="41"/>
        </w:numPr>
        <w:shd w:val="clear" w:color="auto" w:fill="FFFFFF"/>
        <w:rPr>
          <w:rFonts w:cstheme="minorHAnsi"/>
          <w:color w:val="222222"/>
          <w:sz w:val="22"/>
          <w:szCs w:val="22"/>
        </w:rPr>
      </w:pPr>
      <w:hyperlink r:id="rId159"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7964D9" w:rsidP="00744CB6">
      <w:pPr>
        <w:numPr>
          <w:ilvl w:val="0"/>
          <w:numId w:val="42"/>
        </w:numPr>
        <w:shd w:val="clear" w:color="auto" w:fill="FFFFFF"/>
        <w:rPr>
          <w:rFonts w:cstheme="minorHAnsi"/>
          <w:color w:val="222222"/>
          <w:sz w:val="22"/>
          <w:szCs w:val="22"/>
        </w:rPr>
      </w:pPr>
      <w:hyperlink r:id="rId160"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7964D9" w:rsidP="00744CB6">
      <w:pPr>
        <w:numPr>
          <w:ilvl w:val="0"/>
          <w:numId w:val="43"/>
        </w:numPr>
        <w:shd w:val="clear" w:color="auto" w:fill="FFFFFF"/>
        <w:rPr>
          <w:rFonts w:cstheme="minorHAnsi"/>
          <w:color w:val="222222"/>
          <w:sz w:val="22"/>
          <w:szCs w:val="22"/>
        </w:rPr>
      </w:pPr>
      <w:hyperlink r:id="rId161"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lastRenderedPageBreak/>
        <w:t>Register in advance for this meeting:</w:t>
      </w:r>
      <w:r w:rsidRPr="00744CB6">
        <w:rPr>
          <w:rFonts w:cstheme="minorHAnsi"/>
          <w:color w:val="000000"/>
          <w:sz w:val="22"/>
          <w:szCs w:val="22"/>
        </w:rPr>
        <w:br/>
      </w:r>
      <w:hyperlink r:id="rId162"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163"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164"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165"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66"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167"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lastRenderedPageBreak/>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7964D9" w:rsidP="00744CB6">
      <w:pPr>
        <w:shd w:val="clear" w:color="auto" w:fill="FFFFFF"/>
        <w:spacing w:after="160" w:line="224" w:lineRule="atLeast"/>
        <w:jc w:val="both"/>
        <w:rPr>
          <w:rFonts w:cstheme="minorHAnsi"/>
          <w:color w:val="222222"/>
          <w:sz w:val="22"/>
          <w:szCs w:val="22"/>
        </w:rPr>
      </w:pPr>
      <w:hyperlink r:id="rId168"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7964D9" w:rsidP="00744CB6">
      <w:pPr>
        <w:shd w:val="clear" w:color="auto" w:fill="FFFFFF"/>
        <w:spacing w:after="160" w:line="224" w:lineRule="atLeast"/>
        <w:jc w:val="both"/>
        <w:rPr>
          <w:rFonts w:cstheme="minorHAnsi"/>
          <w:color w:val="222222"/>
          <w:sz w:val="22"/>
          <w:szCs w:val="22"/>
        </w:rPr>
      </w:pPr>
      <w:hyperlink r:id="rId169"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170"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171"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172"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173"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174"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175"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lastRenderedPageBreak/>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7964D9" w:rsidP="009F2226">
      <w:pPr>
        <w:numPr>
          <w:ilvl w:val="0"/>
          <w:numId w:val="38"/>
        </w:numPr>
        <w:shd w:val="clear" w:color="auto" w:fill="FFFFFF"/>
        <w:rPr>
          <w:rFonts w:cstheme="minorHAnsi"/>
          <w:color w:val="222222"/>
          <w:sz w:val="22"/>
          <w:szCs w:val="22"/>
        </w:rPr>
      </w:pPr>
      <w:hyperlink r:id="rId176"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7964D9" w:rsidP="009F2226">
      <w:pPr>
        <w:numPr>
          <w:ilvl w:val="0"/>
          <w:numId w:val="39"/>
        </w:numPr>
        <w:shd w:val="clear" w:color="auto" w:fill="FFFFFF"/>
        <w:rPr>
          <w:rFonts w:cstheme="minorHAnsi"/>
          <w:color w:val="222222"/>
          <w:sz w:val="22"/>
          <w:szCs w:val="22"/>
        </w:rPr>
      </w:pPr>
      <w:hyperlink r:id="rId177"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7964D9" w:rsidP="009F2226">
      <w:pPr>
        <w:numPr>
          <w:ilvl w:val="0"/>
          <w:numId w:val="40"/>
        </w:numPr>
        <w:shd w:val="clear" w:color="auto" w:fill="FFFFFF"/>
        <w:rPr>
          <w:rFonts w:cstheme="minorHAnsi"/>
          <w:color w:val="222222"/>
          <w:sz w:val="22"/>
          <w:szCs w:val="22"/>
        </w:rPr>
      </w:pPr>
      <w:hyperlink r:id="rId178"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179"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80"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81"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Hussey and Jamie Morris, are pleased to partner with Dr. Shirley Giroux to provide an introduction to Compassionate Systems Leadership (CSL) through a two-part </w:t>
      </w:r>
      <w:r w:rsidRPr="009F2226">
        <w:rPr>
          <w:rFonts w:cstheme="minorHAnsi"/>
          <w:color w:val="000000"/>
          <w:sz w:val="22"/>
          <w:szCs w:val="22"/>
          <w:lang w:val="en-US"/>
        </w:rPr>
        <w:lastRenderedPageBreak/>
        <w:t>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182"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183"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184"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7964D9" w:rsidP="009F2226">
      <w:pPr>
        <w:shd w:val="clear" w:color="auto" w:fill="FFFFFF"/>
        <w:spacing w:after="160" w:line="209" w:lineRule="atLeast"/>
        <w:jc w:val="both"/>
        <w:rPr>
          <w:rFonts w:cstheme="minorHAnsi"/>
          <w:color w:val="222222"/>
          <w:sz w:val="22"/>
          <w:szCs w:val="22"/>
        </w:rPr>
      </w:pPr>
      <w:hyperlink r:id="rId185"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7964D9" w:rsidP="009F2226">
      <w:pPr>
        <w:shd w:val="clear" w:color="auto" w:fill="FFFFFF"/>
        <w:spacing w:after="160" w:line="209" w:lineRule="atLeast"/>
        <w:jc w:val="both"/>
        <w:rPr>
          <w:rFonts w:cstheme="minorHAnsi"/>
          <w:color w:val="222222"/>
          <w:sz w:val="22"/>
          <w:szCs w:val="22"/>
        </w:rPr>
      </w:pPr>
      <w:hyperlink r:id="rId186"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187"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188"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189"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190"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lastRenderedPageBreak/>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7964D9" w:rsidP="002065D6">
      <w:pPr>
        <w:shd w:val="clear" w:color="auto" w:fill="FFFFFF"/>
        <w:spacing w:after="160"/>
        <w:rPr>
          <w:rFonts w:cstheme="minorHAnsi"/>
          <w:color w:val="222222"/>
          <w:sz w:val="22"/>
          <w:szCs w:val="22"/>
        </w:rPr>
      </w:pPr>
      <w:hyperlink r:id="rId191"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7964D9" w:rsidP="002065D6">
      <w:pPr>
        <w:shd w:val="clear" w:color="auto" w:fill="FFFFFF"/>
        <w:spacing w:after="160"/>
        <w:rPr>
          <w:rFonts w:cstheme="minorHAnsi"/>
          <w:color w:val="222222"/>
          <w:sz w:val="22"/>
          <w:szCs w:val="22"/>
        </w:rPr>
      </w:pPr>
      <w:hyperlink r:id="rId192"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7964D9" w:rsidP="002065D6">
      <w:pPr>
        <w:shd w:val="clear" w:color="auto" w:fill="FFFFFF"/>
        <w:spacing w:after="160"/>
        <w:rPr>
          <w:rFonts w:cstheme="minorHAnsi"/>
          <w:color w:val="222222"/>
          <w:sz w:val="22"/>
          <w:szCs w:val="22"/>
        </w:rPr>
      </w:pPr>
      <w:hyperlink r:id="rId193"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194"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19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196"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lastRenderedPageBreak/>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7964D9" w:rsidP="002065D6">
      <w:pPr>
        <w:shd w:val="clear" w:color="auto" w:fill="FFFFFF"/>
        <w:spacing w:before="199" w:after="103"/>
        <w:rPr>
          <w:rFonts w:cstheme="minorHAnsi"/>
          <w:color w:val="222222"/>
          <w:sz w:val="22"/>
          <w:szCs w:val="22"/>
        </w:rPr>
      </w:pPr>
      <w:hyperlink r:id="rId197"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198"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199"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200"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201"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202"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203"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7964D9" w:rsidP="00443C6F">
      <w:pPr>
        <w:shd w:val="clear" w:color="auto" w:fill="FFFFFF"/>
        <w:spacing w:before="199" w:after="103" w:line="288" w:lineRule="atLeast"/>
        <w:rPr>
          <w:rFonts w:cstheme="minorHAnsi"/>
          <w:color w:val="222222"/>
          <w:sz w:val="22"/>
          <w:szCs w:val="22"/>
        </w:rPr>
      </w:pPr>
      <w:hyperlink r:id="rId204"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205"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lastRenderedPageBreak/>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206"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207"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208"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209"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210"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211"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212"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213">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7964D9" w:rsidP="00510FB1">
      <w:pPr>
        <w:rPr>
          <w:rFonts w:cstheme="minorHAnsi"/>
          <w:sz w:val="22"/>
          <w:szCs w:val="22"/>
        </w:rPr>
      </w:pPr>
      <w:hyperlink r:id="rId214"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215"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encourages all independent schools to register their grade 4 and grade 8 students to participate in the MDI survey this year. I recognize that last year there was a challenge for some schools to participate </w:t>
      </w:r>
      <w:r w:rsidRPr="00A544BA">
        <w:rPr>
          <w:rFonts w:cstheme="minorHAnsi"/>
          <w:color w:val="202020"/>
          <w:sz w:val="22"/>
          <w:szCs w:val="22"/>
          <w:lang w:eastAsia="en-CA"/>
        </w:rPr>
        <w:lastRenderedPageBreak/>
        <w:t>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216"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217"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218"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219"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220"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221"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t>
      </w:r>
      <w:r w:rsidRPr="00A544BA">
        <w:rPr>
          <w:rFonts w:eastAsia="Tahoma" w:cstheme="minorHAnsi"/>
          <w:sz w:val="22"/>
          <w:szCs w:val="22"/>
        </w:rPr>
        <w:lastRenderedPageBreak/>
        <w:t xml:space="preserve">welcomes all perspectives and independent school leaders would be well suited to provide thoughtful and insightful comments through the survey available here </w:t>
      </w:r>
      <w:hyperlink r:id="rId222"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223"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224"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225"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226"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227"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xml:space="preserve"> confirmed that all K-12 school activities are excluded from proof of vaccination requirements. This applies to any person involved or </w:t>
      </w:r>
      <w:r w:rsidRPr="00BD6521">
        <w:rPr>
          <w:rFonts w:ascii="Tahoma" w:hAnsi="Tahoma" w:cs="Tahoma"/>
          <w:sz w:val="22"/>
          <w:szCs w:val="22"/>
          <w:lang w:val="en-US"/>
        </w:rPr>
        <w:lastRenderedPageBreak/>
        <w:t>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228"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229"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230"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231"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232"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233"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234"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235"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236"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7964D9" w:rsidP="00B02580">
      <w:pPr>
        <w:shd w:val="clear" w:color="auto" w:fill="FFFFFF"/>
        <w:spacing w:after="160" w:line="235" w:lineRule="atLeast"/>
        <w:rPr>
          <w:rFonts w:ascii="Tahoma" w:hAnsi="Tahoma" w:cs="Tahoma"/>
          <w:color w:val="222222"/>
          <w:sz w:val="22"/>
          <w:szCs w:val="22"/>
        </w:rPr>
      </w:pPr>
      <w:hyperlink r:id="rId237"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lastRenderedPageBreak/>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2"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2"/>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238"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239"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240"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241"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242"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243"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lastRenderedPageBreak/>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244"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245"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246"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247"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lastRenderedPageBreak/>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248"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249"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250"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251"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lastRenderedPageBreak/>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252"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253"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254"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255"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256"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lastRenderedPageBreak/>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257"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258"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259"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260"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261"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xml:space="preserve"> Truth and Reconciliation Day. Whether it is through connecting with a local First Nations band, listening to the wisdom of an Elder in-person or </w:t>
      </w:r>
      <w:r w:rsidRPr="00B25CE1">
        <w:rPr>
          <w:rFonts w:ascii="Tahoma" w:hAnsi="Tahoma" w:cs="Tahoma"/>
          <w:color w:val="000000"/>
          <w:sz w:val="22"/>
          <w:szCs w:val="22"/>
          <w:lang w:val="en-US"/>
        </w:rPr>
        <w:lastRenderedPageBreak/>
        <w:t>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262"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263"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26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265"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26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267"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268"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269"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270"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27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lastRenderedPageBreak/>
        <w:t>We have established an archive of the FISA weekly updates which is accessible through the “members only” section of the https://fisabc.ca/ website. Please contact </w:t>
      </w:r>
      <w:hyperlink r:id="rId272"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273"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Independent schools are encouraged to establish a mask exemption request process that reinforces the Ministry’s guidance which states “All students in Grades 4 -12 are required to </w:t>
      </w:r>
      <w:r w:rsidRPr="00112DB5">
        <w:rPr>
          <w:rStyle w:val="normaltextrun"/>
          <w:rFonts w:ascii="Tahoma" w:hAnsi="Tahoma" w:cs="Tahoma"/>
          <w:sz w:val="20"/>
          <w:szCs w:val="20"/>
          <w:lang w:val="en-US"/>
        </w:rPr>
        <w:lastRenderedPageBreak/>
        <w:t>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274"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275"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276"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77"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DM Bulletin, include the final instalment of a 3-year Early Initiative Mental Health grant ($472,290) and a one-time COVID-19 Recovery Mental Health grant ($650,000). The FISA Board and the FISA Mental Health Committee (with representatives </w:t>
      </w:r>
      <w:r w:rsidRPr="00AA2F10">
        <w:rPr>
          <w:rStyle w:val="normaltextrun"/>
          <w:rFonts w:ascii="Tahoma" w:hAnsi="Tahoma" w:cs="Tahoma"/>
          <w:sz w:val="20"/>
          <w:szCs w:val="20"/>
          <w:lang w:val="en-US"/>
        </w:rPr>
        <w:lastRenderedPageBreak/>
        <w:t>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78"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279"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280"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281"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xml:space="preserve"> produced studies of COVID-19 cases in K-12 schools in their respective regions and the common theme was that vaccines are the most effective means to lowering </w:t>
      </w:r>
      <w:r w:rsidRPr="00AA2F10">
        <w:rPr>
          <w:rStyle w:val="normaltextrun"/>
          <w:rFonts w:ascii="Tahoma" w:hAnsi="Tahoma" w:cs="Tahoma"/>
          <w:sz w:val="20"/>
          <w:szCs w:val="20"/>
        </w:rPr>
        <w:lastRenderedPageBreak/>
        <w:t>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282"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83"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284"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285"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286"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287"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88"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289"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290"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6"/>
  </w:num>
  <w:num w:numId="3">
    <w:abstractNumId w:val="18"/>
  </w:num>
  <w:num w:numId="4">
    <w:abstractNumId w:val="9"/>
  </w:num>
  <w:num w:numId="5">
    <w:abstractNumId w:val="16"/>
  </w:num>
  <w:num w:numId="6">
    <w:abstractNumId w:val="12"/>
  </w:num>
  <w:num w:numId="7">
    <w:abstractNumId w:val="47"/>
  </w:num>
  <w:num w:numId="8">
    <w:abstractNumId w:val="17"/>
  </w:num>
  <w:num w:numId="9">
    <w:abstractNumId w:val="50"/>
  </w:num>
  <w:num w:numId="10">
    <w:abstractNumId w:val="22"/>
  </w:num>
  <w:num w:numId="11">
    <w:abstractNumId w:val="42"/>
  </w:num>
  <w:num w:numId="12">
    <w:abstractNumId w:val="44"/>
  </w:num>
  <w:num w:numId="13">
    <w:abstractNumId w:val="10"/>
  </w:num>
  <w:num w:numId="14">
    <w:abstractNumId w:val="32"/>
  </w:num>
  <w:num w:numId="15">
    <w:abstractNumId w:val="31"/>
  </w:num>
  <w:num w:numId="16">
    <w:abstractNumId w:val="7"/>
  </w:num>
  <w:num w:numId="17">
    <w:abstractNumId w:val="39"/>
  </w:num>
  <w:num w:numId="18">
    <w:abstractNumId w:val="34"/>
  </w:num>
  <w:num w:numId="19">
    <w:abstractNumId w:val="19"/>
  </w:num>
  <w:num w:numId="20">
    <w:abstractNumId w:val="21"/>
  </w:num>
  <w:num w:numId="21">
    <w:abstractNumId w:val="26"/>
  </w:num>
  <w:num w:numId="22">
    <w:abstractNumId w:val="35"/>
  </w:num>
  <w:num w:numId="23">
    <w:abstractNumId w:val="43"/>
  </w:num>
  <w:num w:numId="24">
    <w:abstractNumId w:val="2"/>
  </w:num>
  <w:num w:numId="25">
    <w:abstractNumId w:val="37"/>
  </w:num>
  <w:num w:numId="26">
    <w:abstractNumId w:val="14"/>
  </w:num>
  <w:num w:numId="27">
    <w:abstractNumId w:val="29"/>
  </w:num>
  <w:num w:numId="28">
    <w:abstractNumId w:val="23"/>
  </w:num>
  <w:num w:numId="29">
    <w:abstractNumId w:val="4"/>
  </w:num>
  <w:num w:numId="30">
    <w:abstractNumId w:val="48"/>
  </w:num>
  <w:num w:numId="31">
    <w:abstractNumId w:val="33"/>
  </w:num>
  <w:num w:numId="32">
    <w:abstractNumId w:val="3"/>
  </w:num>
  <w:num w:numId="33">
    <w:abstractNumId w:val="41"/>
  </w:num>
  <w:num w:numId="34">
    <w:abstractNumId w:val="27"/>
  </w:num>
  <w:num w:numId="35">
    <w:abstractNumId w:val="11"/>
  </w:num>
  <w:num w:numId="36">
    <w:abstractNumId w:val="8"/>
  </w:num>
  <w:num w:numId="37">
    <w:abstractNumId w:val="40"/>
  </w:num>
  <w:num w:numId="38">
    <w:abstractNumId w:val="38"/>
  </w:num>
  <w:num w:numId="39">
    <w:abstractNumId w:val="25"/>
  </w:num>
  <w:num w:numId="40">
    <w:abstractNumId w:val="46"/>
  </w:num>
  <w:num w:numId="41">
    <w:abstractNumId w:val="30"/>
  </w:num>
  <w:num w:numId="42">
    <w:abstractNumId w:val="49"/>
  </w:num>
  <w:num w:numId="43">
    <w:abstractNumId w:val="13"/>
  </w:num>
  <w:num w:numId="44">
    <w:abstractNumId w:val="0"/>
  </w:num>
  <w:num w:numId="45">
    <w:abstractNumId w:val="20"/>
  </w:num>
  <w:num w:numId="46">
    <w:abstractNumId w:val="45"/>
  </w:num>
  <w:num w:numId="47">
    <w:abstractNumId w:val="5"/>
  </w:num>
  <w:num w:numId="48">
    <w:abstractNumId w:val="1"/>
  </w:num>
  <w:num w:numId="49">
    <w:abstractNumId w:val="28"/>
  </w:num>
  <w:num w:numId="50">
    <w:abstractNumId w:val="24"/>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202E09"/>
    <w:rsid w:val="002065D6"/>
    <w:rsid w:val="002E3265"/>
    <w:rsid w:val="00341D15"/>
    <w:rsid w:val="003C063D"/>
    <w:rsid w:val="00443C6F"/>
    <w:rsid w:val="00510FB1"/>
    <w:rsid w:val="00511067"/>
    <w:rsid w:val="0057306F"/>
    <w:rsid w:val="005C5787"/>
    <w:rsid w:val="005E5CD6"/>
    <w:rsid w:val="00660B6E"/>
    <w:rsid w:val="00711C40"/>
    <w:rsid w:val="00735943"/>
    <w:rsid w:val="00744CB6"/>
    <w:rsid w:val="007964D9"/>
    <w:rsid w:val="007B5AE0"/>
    <w:rsid w:val="00836D8B"/>
    <w:rsid w:val="00923B6A"/>
    <w:rsid w:val="009809F7"/>
    <w:rsid w:val="00992209"/>
    <w:rsid w:val="009F2226"/>
    <w:rsid w:val="00A21DD6"/>
    <w:rsid w:val="00A24570"/>
    <w:rsid w:val="00A6486A"/>
    <w:rsid w:val="00AA2F10"/>
    <w:rsid w:val="00B02580"/>
    <w:rsid w:val="00B25CE1"/>
    <w:rsid w:val="00B44E09"/>
    <w:rsid w:val="00BD6521"/>
    <w:rsid w:val="00C009E9"/>
    <w:rsid w:val="00C711E1"/>
    <w:rsid w:val="00C8538B"/>
    <w:rsid w:val="00C95B3F"/>
    <w:rsid w:val="00CE60BC"/>
    <w:rsid w:val="00DA1BEC"/>
    <w:rsid w:val="00E21472"/>
    <w:rsid w:val="00F21D48"/>
    <w:rsid w:val="00F26B12"/>
    <w:rsid w:val="00F570F5"/>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sabc.ca/media/video-gallery/" TargetMode="External"/><Relationship Id="rId21" Type="http://schemas.openxmlformats.org/officeDocument/2006/relationships/hyperlink" Target="https://www2.gov.bc.ca/gov/content/education-training/k-12/administration/legislation-policy/independent-schools/educational-standards-for-independent-schools" TargetMode="External"/><Relationship Id="rId63" Type="http://schemas.openxmlformats.org/officeDocument/2006/relationships/hyperlink" Target="mailto:info@bcschoolsports.ca" TargetMode="External"/><Relationship Id="rId159" Type="http://schemas.openxmlformats.org/officeDocument/2006/relationships/hyperlink" Target="http://www.bccdc.ca/Health-Info-Site/Documents/COVID_sitrep/K12_Situation_Report/SitRep_K-12_November_2021.pdf" TargetMode="External"/><Relationship Id="rId170" Type="http://schemas.openxmlformats.org/officeDocument/2006/relationships/hyperlink" Target="https://www.surveymonkey.com/r/DG2021-22" TargetMode="External"/><Relationship Id="rId226" Type="http://schemas.openxmlformats.org/officeDocument/2006/relationships/hyperlink" Target="http://www.bced.gov.bc.ca/bulletin/20211022/october-22-covid-19-update-is.pdf" TargetMode="External"/><Relationship Id="rId268" Type="http://schemas.openxmlformats.org/officeDocument/2006/relationships/hyperlink" Target="https://www2.gov.bc.ca/gov/content/education-training/k-12/administration/legislation-policy/independent-schools/safe-caring-school-communities" TargetMode="External"/><Relationship Id="rId32" Type="http://schemas.openxmlformats.org/officeDocument/2006/relationships/hyperlink" Target="https://feedback.engage.gov.bc.ca/727126?lang=en" TargetMode="External"/><Relationship Id="rId74" Type="http://schemas.openxmlformats.org/officeDocument/2006/relationships/hyperlink" Target="https://foundrybc.ca/" TargetMode="External"/><Relationship Id="rId128" Type="http://schemas.openxmlformats.org/officeDocument/2006/relationships/hyperlink" Target="mailto:vidascomm@gmail.com" TargetMode="External"/><Relationship Id="rId5" Type="http://schemas.openxmlformats.org/officeDocument/2006/relationships/hyperlink" Target="http://www.bced.gov.bc.ca/erase/documents/erase-training-schedule.pdf" TargetMode="External"/><Relationship Id="rId181" Type="http://schemas.openxmlformats.org/officeDocument/2006/relationships/hyperlink" Target="https://us06web.zoom.us/meeting/register/tZMudu6gqTIuE9S12iuFmOhMausNArPWExyG" TargetMode="External"/><Relationship Id="rId237" Type="http://schemas.openxmlformats.org/officeDocument/2006/relationships/hyperlink" Target="https://us06web.zoom.us/j/84024454538?pwd=cHl4QlpXMGZyZnBnWkQydUdSTGlGdz09" TargetMode="External"/><Relationship Id="rId279" Type="http://schemas.openxmlformats.org/officeDocument/2006/relationships/hyperlink" Target="https://www2.gov.bc.ca/assets/gov/education/administration/kindergarten-to-grade-12/safe-caring-orderly/k-12-covid-19-health-safety-guidlines.pdf" TargetMode="External"/><Relationship Id="rId43" Type="http://schemas.openxmlformats.org/officeDocument/2006/relationships/hyperlink" Target="https://feedback.engage.gov.bc.ca/727126?lang=en" TargetMode="External"/><Relationship Id="rId139" Type="http://schemas.openxmlformats.org/officeDocument/2006/relationships/hyperlink" Target="https://www2.gov.bc.ca/assets/gov/education/administration/kindergarten-to-grade-12/safe-caring-orderly/k-12-covid-19-health-safety-guidelines-addendum.pdf" TargetMode="External"/><Relationship Id="rId290" Type="http://schemas.openxmlformats.org/officeDocument/2006/relationships/hyperlink" Target="mailto:bccie@bccie.bc.ca" TargetMode="External"/><Relationship Id="rId85" Type="http://schemas.openxmlformats.org/officeDocument/2006/relationships/hyperlink" Target="https://foundrybc.ca/" TargetMode="External"/><Relationship Id="rId150" Type="http://schemas.openxmlformats.org/officeDocument/2006/relationships/hyperlink" Target="mailto:ISCovidLead@fisabc.ca" TargetMode="External"/><Relationship Id="rId192" Type="http://schemas.openxmlformats.org/officeDocument/2006/relationships/hyperlink" Target="https://us06web.zoom.us/j/88160194804?pwd=dVVwWDRaUm4rZHNnS2Nhcy91bjViUT09" TargetMode="External"/><Relationship Id="rId206" Type="http://schemas.openxmlformats.org/officeDocument/2006/relationships/hyperlink" Target="https://fisabc.ca/media/video-gallery/" TargetMode="External"/><Relationship Id="rId248" Type="http://schemas.openxmlformats.org/officeDocument/2006/relationships/hyperlink" Target="https://www.bclaws.gov.bc.ca/civix/document/id/complete/statreg/18003" TargetMode="External"/><Relationship Id="rId269" Type="http://schemas.openxmlformats.org/officeDocument/2006/relationships/hyperlink" Target="https://www2.gov.bc.ca/assets/gov/education/administration/kindergarten-to-grade-12/independent-schools/student_record_independent_schools.pdf" TargetMode="External"/><Relationship Id="rId12" Type="http://schemas.openxmlformats.org/officeDocument/2006/relationships/hyperlink" Target="https://forms.gle/9Pm6KMDu7pYLx6Vu7" TargetMode="External"/><Relationship Id="rId33" Type="http://schemas.openxmlformats.org/officeDocument/2006/relationships/hyperlink" Target="https://fisabc.ca/scholarships-awards/" TargetMode="External"/><Relationship Id="rId108" Type="http://schemas.openxmlformats.org/officeDocument/2006/relationships/hyperlink" Target="mailto:educ.srsd@gov.bc.ca" TargetMode="External"/><Relationship Id="rId129" Type="http://schemas.openxmlformats.org/officeDocument/2006/relationships/hyperlink" Target="mailto:mike.campbell@kcschool.ca" TargetMode="External"/><Relationship Id="rId280" Type="http://schemas.openxmlformats.org/officeDocument/2006/relationships/hyperlink" Target="https://www.fraserhealth.ca/news/2021/Aug/fraser-health-releases-data-review-of-covid-19-transmission-in-surrey-schools" TargetMode="External"/><Relationship Id="rId54" Type="http://schemas.openxmlformats.org/officeDocument/2006/relationships/hyperlink" Target="https://www.canada.ca/en/public-health/news/2022/02/government-of-canada-lightens-border-measures-as-part-of-transition-of-the-pandemic-response.html" TargetMode="External"/><Relationship Id="rId75" Type="http://schemas.openxmlformats.org/officeDocument/2006/relationships/hyperlink" Target="https://us06web.zoom.us/meeting/register/tZUuf--srjopHNRlUKJjVP1uihX-anz2kgHy" TargetMode="External"/><Relationship Id="rId96" Type="http://schemas.openxmlformats.org/officeDocument/2006/relationships/hyperlink" Target="https://www.makeafuture.ca/" TargetMode="External"/><Relationship Id="rId140" Type="http://schemas.openxmlformats.org/officeDocument/2006/relationships/hyperlink" Target="https://us06web.zoom.us/j/87971516855?pwd=cVk0WDg1TlNndFUzQm9zeUVZcTE3UT09" TargetMode="External"/><Relationship Id="rId161" Type="http://schemas.openxmlformats.org/officeDocument/2006/relationships/hyperlink" Target="https://news.gov.bc.ca/releases/2021HLTH0209-002245" TargetMode="External"/><Relationship Id="rId182" Type="http://schemas.openxmlformats.org/officeDocument/2006/relationships/hyperlink" Target="https://www2.gov.bc.ca/assets/gov/education/administration/kindergarten-to-grade-12/key-principles-and-strategies-for-k-12-mental-health-promotion.pdf" TargetMode="External"/><Relationship Id="rId217" Type="http://schemas.openxmlformats.org/officeDocument/2006/relationships/hyperlink" Target="mailto:michelle_mhc@fisabc.ca" TargetMode="External"/><Relationship Id="rId6" Type="http://schemas.openxmlformats.org/officeDocument/2006/relationships/hyperlink" Target="https://event-wizard.com/OverviewVTRADTAOnlineMay52022/0/register/" TargetMode="External"/><Relationship Id="rId238" Type="http://schemas.openxmlformats.org/officeDocument/2006/relationships/hyperlink" Target="https://www2.gov.bc.ca/assets/gov/education/administration/kindergarten-to-grade-12/key-principles-and-strategies-for-k-12-mental-health-promotion.pdf" TargetMode="External"/><Relationship Id="rId259" Type="http://schemas.openxmlformats.org/officeDocument/2006/relationships/hyperlink" Target="http://www.bced.gov.bc.ca/bulletin/20210924/2021-09-24---covid-update-isb.pdf" TargetMode="External"/><Relationship Id="rId23" Type="http://schemas.openxmlformats.org/officeDocument/2006/relationships/hyperlink" Target="mailto:info@fisabc.ca" TargetMode="External"/><Relationship Id="rId119" Type="http://schemas.openxmlformats.org/officeDocument/2006/relationships/hyperlink" Target="https://us06web.zoom.us/meeting/register/tZEtcuytrzsqGdGaZSVcMWf6VU5sxy6XC4op" TargetMode="External"/><Relationship Id="rId270" Type="http://schemas.openxmlformats.org/officeDocument/2006/relationships/hyperlink" Target="https://fisabc.ca/" TargetMode="External"/><Relationship Id="rId291" Type="http://schemas.openxmlformats.org/officeDocument/2006/relationships/fontTable" Target="fontTable.xml"/><Relationship Id="rId44" Type="http://schemas.openxmlformats.org/officeDocument/2006/relationships/hyperlink" Target="https://foundrybc.ca/" TargetMode="External"/><Relationship Id="rId65" Type="http://schemas.openxmlformats.org/officeDocument/2006/relationships/hyperlink" Target="https://www2.gov.bc.ca/assets/gov/education/administration/kindergarten-to-grade-12/safe-caring-orderly/k-12-covid-19-health-safety-guidlines.pdf" TargetMode="External"/><Relationship Id="rId86" Type="http://schemas.openxmlformats.org/officeDocument/2006/relationships/hyperlink" Target="https://us06web.zoom.us/meeting/register/tZUuf--srjopHNRlUKJjVP1uihX-anz2kgHy" TargetMode="External"/><Relationship Id="rId130" Type="http://schemas.openxmlformats.org/officeDocument/2006/relationships/hyperlink" Target="mailto:ISCOVIDLead@fisabc.ca" TargetMode="External"/><Relationship Id="rId151" Type="http://schemas.openxmlformats.org/officeDocument/2006/relationships/hyperlink" Target="https://www.youtube.com/watch?v=uQSmm4mW1xY" TargetMode="External"/><Relationship Id="rId172" Type="http://schemas.openxmlformats.org/officeDocument/2006/relationships/hyperlink" Target="https://www.drivebc.ca/" TargetMode="External"/><Relationship Id="rId193" Type="http://schemas.openxmlformats.org/officeDocument/2006/relationships/hyperlink" Target="https://us06web.zoom.us/j/83096226970?pwd=bGJuWjdMZGhQUUk5MUhIRERZWHdWUT09" TargetMode="External"/><Relationship Id="rId207" Type="http://schemas.openxmlformats.org/officeDocument/2006/relationships/hyperlink" Target="https://docs.google.com/forms/d/19R53izm5BbS4qdNRZPkMpvTxmwbm_iy4zlHdMbzQgaU/edit" TargetMode="External"/><Relationship Id="rId228" Type="http://schemas.openxmlformats.org/officeDocument/2006/relationships/hyperlink" Target="http://www.bccdc.ca/Health-Info-Site/Documents/COVID_sitrep/K12_Situation_Report/SitRep_K-12_October_2021.pdf" TargetMode="External"/><Relationship Id="rId249" Type="http://schemas.openxmlformats.org/officeDocument/2006/relationships/hyperlink" Target="https://engage.gov.bc.ca/app/uploads/sites/121/2021/09/Draft-K-12-Student-Reporting-Policy.pdf" TargetMode="External"/><Relationship Id="rId13" Type="http://schemas.openxmlformats.org/officeDocument/2006/relationships/hyperlink" Target="https://fisabc.ca/scholarships-awards/" TargetMode="External"/><Relationship Id="rId109" Type="http://schemas.openxmlformats.org/officeDocument/2006/relationships/hyperlink" Target="mailto:educ.srsd@gov.bc.ca" TargetMode="External"/><Relationship Id="rId260" Type="http://schemas.openxmlformats.org/officeDocument/2006/relationships/hyperlink" Target="https://www2.gov.bc.ca/assets/gov/education/administration/kindergarten-to-grade-12/safe-caring-orderly/k-12-covid-19-health-safety-guidlines.pdf" TargetMode="External"/><Relationship Id="rId281" Type="http://schemas.openxmlformats.org/officeDocument/2006/relationships/hyperlink" Target="http://www.vch.ca/covid-19/school-exposures" TargetMode="External"/><Relationship Id="rId34" Type="http://schemas.openxmlformats.org/officeDocument/2006/relationships/hyperlink" Target="mailto:info@fisabc.ca" TargetMode="External"/><Relationship Id="rId55" Type="http://schemas.openxmlformats.org/officeDocument/2006/relationships/hyperlink" Target="http://www.bced.gov.bc.ca/bulletin/20220215/rapid-test---letter-to-famlies20220215.pdf" TargetMode="External"/><Relationship Id="rId76" Type="http://schemas.openxmlformats.org/officeDocument/2006/relationships/hyperlink" Target="mailto:ISCOVIDLead@fisabc.ca" TargetMode="External"/><Relationship Id="rId97" Type="http://schemas.openxmlformats.org/officeDocument/2006/relationships/hyperlink" Target="mailto:kengleson@sd73.bc.ca" TargetMode="External"/><Relationship Id="rId120" Type="http://schemas.openxmlformats.org/officeDocument/2006/relationships/hyperlink" Target="https://www2.gov.bc.ca/gov/content/education-training/k-12/administration/program-management/independent-schools/funding" TargetMode="External"/><Relationship Id="rId141" Type="http://schemas.openxmlformats.org/officeDocument/2006/relationships/hyperlink" Target="https://www2.gov.bc.ca/gov/content/education-training/k-12/teach/excellence-in-education" TargetMode="External"/><Relationship Id="rId7" Type="http://schemas.openxmlformats.org/officeDocument/2006/relationships/hyperlink" Target="https://event-wizard.com/OverviewDTAVTRAOnlineMay312022/0/register/" TargetMode="External"/><Relationship Id="rId162" Type="http://schemas.openxmlformats.org/officeDocument/2006/relationships/hyperlink" Target="https://us06web.zoom.us/meeting/register/tZMudu6gqTIuE9S12iuFmOhMausNArPWExyG" TargetMode="External"/><Relationship Id="rId183" Type="http://schemas.openxmlformats.org/officeDocument/2006/relationships/hyperlink" Target="https://systemsawareness.digication.com/shirley-giroux-project/about" TargetMode="External"/><Relationship Id="rId218" Type="http://schemas.openxmlformats.org/officeDocument/2006/relationships/hyperlink" Target="mailto:jamie_mhc@fisabc.ca" TargetMode="External"/><Relationship Id="rId239" Type="http://schemas.openxmlformats.org/officeDocument/2006/relationships/hyperlink" Target="https://engage.gov.bc.ca/app/uploads/sites/121/2021/09/Draft-K-12-Student-Reporting-Policy.pdf" TargetMode="External"/><Relationship Id="rId250" Type="http://schemas.openxmlformats.org/officeDocument/2006/relationships/hyperlink" Target="https://engage.gov.bc.ca/govtogetherbc/consultation/studentreporting/" TargetMode="External"/><Relationship Id="rId271" Type="http://schemas.openxmlformats.org/officeDocument/2006/relationships/hyperlink" Target="https://fisabc.ca/" TargetMode="External"/><Relationship Id="rId292" Type="http://schemas.openxmlformats.org/officeDocument/2006/relationships/theme" Target="theme/theme1.xml"/><Relationship Id="rId24" Type="http://schemas.openxmlformats.org/officeDocument/2006/relationships/hyperlink" Target="https://www.bcschoolsports.ca/member-services/scholarships" TargetMode="External"/><Relationship Id="rId45" Type="http://schemas.openxmlformats.org/officeDocument/2006/relationships/hyperlink" Target="https://fisabc.ca/media/video-gallery/" TargetMode="External"/><Relationship Id="rId66" Type="http://schemas.openxmlformats.org/officeDocument/2006/relationships/hyperlink" Target="http://www.bccdc.ca/Health-Info-Site/Documents/COVID_public_guidance/Guidance-k-12-schools.pdf" TargetMode="External"/><Relationship Id="rId87" Type="http://schemas.openxmlformats.org/officeDocument/2006/relationships/hyperlink" Target="http://www.bced.gov.bc.ca/bulletin/20220114/rapid-test-deployment-information.pdf" TargetMode="External"/><Relationship Id="rId110" Type="http://schemas.openxmlformats.org/officeDocument/2006/relationships/hyperlink" Target="https://www2.gov.bc.ca/assets/gov/education/administration/kindergarten-to-grade-12/safe-caring-orderly/covid-19-protocols-for-administrators.pdf" TargetMode="External"/><Relationship Id="rId131" Type="http://schemas.openxmlformats.org/officeDocument/2006/relationships/hyperlink" Target="https://www2.gov.bc.ca/assets/gov/education/administration/kindergarten-to-grade-12/safe-caring-orderly/covid-19-protocols-for-administrators.pdf" TargetMode="External"/><Relationship Id="rId152"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73" Type="http://schemas.openxmlformats.org/officeDocument/2006/relationships/hyperlink" Target="https://email.drivebc.ca/choose.php" TargetMode="External"/><Relationship Id="rId194" Type="http://schemas.openxmlformats.org/officeDocument/2006/relationships/hyperlink" Target="https://fisabc.ca/media/video-gallery/" TargetMode="External"/><Relationship Id="rId208" Type="http://schemas.openxmlformats.org/officeDocument/2006/relationships/hyperlink" Target="mailto:michelle_mhc@fisabc.ca" TargetMode="External"/><Relationship Id="rId229" Type="http://schemas.openxmlformats.org/officeDocument/2006/relationships/hyperlink" Target="https://www.surveymonkey.com/r/GBB820" TargetMode="External"/><Relationship Id="rId240" Type="http://schemas.openxmlformats.org/officeDocument/2006/relationships/hyperlink" Target="https://engage.gov.bc.ca/govtogetherbc/consultation/studentreporting/" TargetMode="External"/><Relationship Id="rId261" Type="http://schemas.openxmlformats.org/officeDocument/2006/relationships/hyperlink" Target="http://www.bccdc.ca/health-info/diseases-conditions/covid-19/prevention-risks/masks" TargetMode="External"/><Relationship Id="rId14" Type="http://schemas.openxmlformats.org/officeDocument/2006/relationships/hyperlink" Target="mailto:info@fisabc.ca" TargetMode="External"/><Relationship Id="rId35" Type="http://schemas.openxmlformats.org/officeDocument/2006/relationships/hyperlink" Target="https://www.bcschoolsports.ca/member-services/scholarships" TargetMode="External"/><Relationship Id="rId56" Type="http://schemas.openxmlformats.org/officeDocument/2006/relationships/hyperlink" Target="https://foundrybc.ca/" TargetMode="External"/><Relationship Id="rId77" Type="http://schemas.openxmlformats.org/officeDocument/2006/relationships/hyperlink" Target="http://www.bced.gov.bc.ca/bulletin/20220201/rapid-antigen-test-deployment-is.pdf" TargetMode="External"/><Relationship Id="rId100" Type="http://schemas.openxmlformats.org/officeDocument/2006/relationships/hyperlink" Target="mailto:jamie_mhc@fisabc.ca" TargetMode="External"/><Relationship Id="rId282" Type="http://schemas.openxmlformats.org/officeDocument/2006/relationships/hyperlink" Target="https://www2.gov.bc.ca/gov/content/education-training/k-12/administration/program-management/international-education/resources" TargetMode="External"/><Relationship Id="rId8" Type="http://schemas.openxmlformats.org/officeDocument/2006/relationships/hyperlink" Target="http://www.bced.gov.bc.ca/bulletin/20220324/DM_Ind_School_Special_Bulletin_March_24_2022.pdf" TargetMode="External"/><Relationship Id="rId98" Type="http://schemas.openxmlformats.org/officeDocument/2006/relationships/hyperlink" Target="https://discovermdi.ca/" TargetMode="External"/><Relationship Id="rId121" Type="http://schemas.openxmlformats.org/officeDocument/2006/relationships/hyperlink" Target="https://www.bcedextranet.gov.bc.ca/educ_forms_service/daily-independent-staffing-survey.html" TargetMode="External"/><Relationship Id="rId142" Type="http://schemas.openxmlformats.org/officeDocument/2006/relationships/hyperlink" Target="https://www.youtube.com/watch?v=uQSmm4mW1xY" TargetMode="External"/><Relationship Id="rId163" Type="http://schemas.openxmlformats.org/officeDocument/2006/relationships/hyperlink" Target="https://www.canada.ca/en/public-health/news/2021/11/government-of-canada-introduces-additional-measures-to-address-covid-19-omicron-variant-of-concern.html" TargetMode="External"/><Relationship Id="rId184" Type="http://schemas.openxmlformats.org/officeDocument/2006/relationships/hyperlink" Target="https://fisabc.ca/media/video-gallery/" TargetMode="External"/><Relationship Id="rId219" Type="http://schemas.openxmlformats.org/officeDocument/2006/relationships/hyperlink" Target="https://mail.google.com/mail/u/0/?tab=rm&amp;ogbl" TargetMode="External"/><Relationship Id="rId230" Type="http://schemas.openxmlformats.org/officeDocument/2006/relationships/hyperlink" Target="http://bchealthycommunities.ca/active-school-travel/" TargetMode="External"/><Relationship Id="rId251" Type="http://schemas.openxmlformats.org/officeDocument/2006/relationships/hyperlink" Target="https://www2.gov.bc.ca/gov/content/education-training/k-12/teach/excellence-in-education" TargetMode="External"/><Relationship Id="rId25" Type="http://schemas.openxmlformats.org/officeDocument/2006/relationships/hyperlink" Target="https://news.gov.bc.ca/releases/2022HLTH0081-000324" TargetMode="External"/><Relationship Id="rId46" Type="http://schemas.openxmlformats.org/officeDocument/2006/relationships/hyperlink" Target="https://www2.gov.bc.ca/assets/gov/education/administration/kindergarten-to-grade-12/exams/graduation-assessments.pdf" TargetMode="External"/><Relationship Id="rId67" Type="http://schemas.openxmlformats.org/officeDocument/2006/relationships/hyperlink" Target="https://www.canada.ca/en/public-health/news/2022/02/government-of-canada-lightens-border-measures-as-part-of-transition-of-the-pandemic-response.html" TargetMode="External"/><Relationship Id="rId272" Type="http://schemas.openxmlformats.org/officeDocument/2006/relationships/hyperlink" Target="mailto:info@fisabc.ca" TargetMode="External"/><Relationship Id="rId88" Type="http://schemas.openxmlformats.org/officeDocument/2006/relationships/hyperlink" Target="https://www.bced.gov.bc.ca/bulletin/20220114/rapid-test-letter-to-school-staff.pdf" TargetMode="External"/><Relationship Id="rId111" Type="http://schemas.openxmlformats.org/officeDocument/2006/relationships/hyperlink" Target="https://www2.gov.bc.ca/assets/gov/health/about-bc-s-health-care-system/office-of-the-provincial-health-officer/covid-19/covid-19-pho-order-school-staff.pdf" TargetMode="External"/><Relationship Id="rId132" Type="http://schemas.openxmlformats.org/officeDocument/2006/relationships/hyperlink" Target="https://fisabc.ca/scholarships-awards/" TargetMode="External"/><Relationship Id="rId153" Type="http://schemas.openxmlformats.org/officeDocument/2006/relationships/hyperlink" Target="https://www.canada.ca/en/immigration-refugees-citizenship/services/coronavirus-covid19/students.html" TargetMode="External"/><Relationship Id="rId174" Type="http://schemas.openxmlformats.org/officeDocument/2006/relationships/hyperlink" Target="https://fisabc.ca/independent-school-covid-19-exposure-report-form/" TargetMode="External"/><Relationship Id="rId195" Type="http://schemas.openxmlformats.org/officeDocument/2006/relationships/hyperlink" Target="https://fisabc.ca/scholarships-awards/" TargetMode="External"/><Relationship Id="rId209" Type="http://schemas.openxmlformats.org/officeDocument/2006/relationships/hyperlink" Target="mailto:jamie_mhc@fisabc.ca" TargetMode="External"/><Relationship Id="rId220" Type="http://schemas.openxmlformats.org/officeDocument/2006/relationships/hyperlink" Target="http://bchealthycommunities.ca/active-school-travel/" TargetMode="External"/><Relationship Id="rId241" Type="http://schemas.openxmlformats.org/officeDocument/2006/relationships/hyperlink" Target="https://www2.gov.bc.ca/gov/content/education-training/k-12/teach/excellence-in-education" TargetMode="External"/><Relationship Id="rId15" Type="http://schemas.openxmlformats.org/officeDocument/2006/relationships/hyperlink" Target="https://www.bcschoolsports.ca/member-services/scholarships" TargetMode="External"/><Relationship Id="rId36" Type="http://schemas.openxmlformats.org/officeDocument/2006/relationships/hyperlink" Target="https://www.canada.ca/en/public-health/news/2022/02/government-of-canada-lightens-border-measures-as-part-of-transition-of-the-pandemic-response.html" TargetMode="External"/><Relationship Id="rId57" Type="http://schemas.openxmlformats.org/officeDocument/2006/relationships/hyperlink" Target="https://foundrybc.ca/" TargetMode="External"/><Relationship Id="rId262" Type="http://schemas.openxmlformats.org/officeDocument/2006/relationships/hyperlink" Target="https://fisabc.ca/independent-school-covid-19-exposure-report-form/" TargetMode="External"/><Relationship Id="rId283" Type="http://schemas.openxmlformats.org/officeDocument/2006/relationships/hyperlink" Target="https://fisabc.ca/services/schools/formsapplications/" TargetMode="External"/><Relationship Id="rId78" Type="http://schemas.openxmlformats.org/officeDocument/2006/relationships/hyperlink" Target="https://news.gov.bc.ca/releases/2022CFD0002-000119" TargetMode="External"/><Relationship Id="rId99" Type="http://schemas.openxmlformats.org/officeDocument/2006/relationships/hyperlink" Target="mailto:michelle_mhc@fisabc.ca" TargetMode="External"/><Relationship Id="rId101" Type="http://schemas.openxmlformats.org/officeDocument/2006/relationships/hyperlink" Target="https://fisabc.ca/media/video-gallery/" TargetMode="External"/><Relationship Id="rId122" Type="http://schemas.openxmlformats.org/officeDocument/2006/relationships/hyperlink" Target="https://www.bcedextranet.gov.bc.ca/educ_forms_service/daily-independent-student-survey.html" TargetMode="External"/><Relationship Id="rId143" Type="http://schemas.openxmlformats.org/officeDocument/2006/relationships/hyperlink" Target="https://news.gov.bc.ca/releases/2021HLTH0234-002431" TargetMode="External"/><Relationship Id="rId164" Type="http://schemas.openxmlformats.org/officeDocument/2006/relationships/hyperlink" Target="http://www.bced.gov.bc.ca/bulletin/20211203/access2.pdf" TargetMode="External"/><Relationship Id="rId185" Type="http://schemas.openxmlformats.org/officeDocument/2006/relationships/hyperlink" Target="https://ca01web.zoom.us/meeting/register/u5Ytf-ipqz0iHNYVWQf-A9hB5wvIshB0p9zT" TargetMode="External"/><Relationship Id="rId9" Type="http://schemas.openxmlformats.org/officeDocument/2006/relationships/hyperlink" Target="https://www.surveymonkey.com/r/HSRATRequest" TargetMode="External"/><Relationship Id="rId210" Type="http://schemas.openxmlformats.org/officeDocument/2006/relationships/hyperlink" Target="https://www2.gov.bc.ca/gov/content/education-training/k-12/teach/excellence-in-education" TargetMode="External"/><Relationship Id="rId26" Type="http://schemas.openxmlformats.org/officeDocument/2006/relationships/hyperlink" Target="http://www.bced.gov.bc.ca/bulletin/20220310/march-2022-summary-of-changes---communicable-disease-guidelines.pdf" TargetMode="External"/><Relationship Id="rId231" Type="http://schemas.openxmlformats.org/officeDocument/2006/relationships/hyperlink" Target="https://docs.google.com/forms/d/19R53izm5BbS4qdNRZPkMpvTxmwbm_iy4zlHdMbzQgaU/edit" TargetMode="External"/><Relationship Id="rId252" Type="http://schemas.openxmlformats.org/officeDocument/2006/relationships/hyperlink" Target="https://www2.gov.bc.ca/assets/gov/health/about-bc-s-health-care-system/office-of-the-provincial-health-officer/covid-19/covid-19-pho-order-face-coverings.pdf" TargetMode="External"/><Relationship Id="rId273" Type="http://schemas.openxmlformats.org/officeDocument/2006/relationships/hyperlink" Target="https://www2.gov.bc.ca/vaccinecard.html" TargetMode="External"/><Relationship Id="rId47" Type="http://schemas.openxmlformats.org/officeDocument/2006/relationships/hyperlink" Target="mailto:exams@gov.bc.ca" TargetMode="External"/><Relationship Id="rId68" Type="http://schemas.openxmlformats.org/officeDocument/2006/relationships/hyperlink" Target="https://www.bcschoolsports.ca/member-services/scholarships" TargetMode="External"/><Relationship Id="rId89" Type="http://schemas.openxmlformats.org/officeDocument/2006/relationships/hyperlink" Target="http://www.bccdc.ca/health-info/diseases-conditions/covid-19/testing/when-to-get-a-covid-19-test" TargetMode="External"/><Relationship Id="rId112" Type="http://schemas.openxmlformats.org/officeDocument/2006/relationships/hyperlink" Target="https://www.dropbox.com/scl/fi/iplj4ue1w00dbxkrm1mau/school-district-contact-info-for-rapidtestdelivery-Jan2022.xls?dl=0&amp;rlkey=u2x2b2egv9q66mar47t27x2wp" TargetMode="External"/><Relationship Id="rId133" Type="http://schemas.openxmlformats.org/officeDocument/2006/relationships/hyperlink" Target="mailto:metrovandas@gmail.com" TargetMode="External"/><Relationship Id="rId154" Type="http://schemas.openxmlformats.org/officeDocument/2006/relationships/hyperlink" Target="https://us06web.zoom.us/meeting/register/tZMudu6gqTIuE9S12iuFmOhMausNArPWExyG" TargetMode="External"/><Relationship Id="rId175" Type="http://schemas.openxmlformats.org/officeDocument/2006/relationships/hyperlink" Target="mailto:ISCovidLead@fisabc.ca" TargetMode="External"/><Relationship Id="rId196" Type="http://schemas.openxmlformats.org/officeDocument/2006/relationships/hyperlink" Target="https://www.surveymonkey.com/r/DAS2021-22" TargetMode="External"/><Relationship Id="rId200"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6" Type="http://schemas.openxmlformats.org/officeDocument/2006/relationships/hyperlink" Target="https://fisabc.ca/professional-learning/provincial-outreach/" TargetMode="External"/><Relationship Id="rId221" Type="http://schemas.openxmlformats.org/officeDocument/2006/relationships/hyperlink" Target="https://engage.gov.bc.ca/app/uploads/sites/121/2021/09/Draft-K-12-Student-Reporting-Policy.pdf" TargetMode="External"/><Relationship Id="rId242" Type="http://schemas.openxmlformats.org/officeDocument/2006/relationships/hyperlink" Target="https://www.surveymonkey.com/r/GBB820" TargetMode="External"/><Relationship Id="rId263" Type="http://schemas.openxmlformats.org/officeDocument/2006/relationships/hyperlink" Target="mailto:ISCovidLead@fisabc.ca" TargetMode="External"/><Relationship Id="rId284" Type="http://schemas.openxmlformats.org/officeDocument/2006/relationships/hyperlink" Target="https://news.gov.bc.ca/releases/2021EDUC0058-001663" TargetMode="External"/><Relationship Id="rId37" Type="http://schemas.openxmlformats.org/officeDocument/2006/relationships/hyperlink" Target="http://www.bccdc.ca/health-info/diseases-conditions/covid-19/covid-19-vaccine/vaccines-for-covid-19" TargetMode="External"/><Relationship Id="rId58" Type="http://schemas.openxmlformats.org/officeDocument/2006/relationships/hyperlink" Target="https://us06web.zoom.us/meeting/register/tZUuf--srjopHNRlUKJjVP1uihX-anz2kgHy" TargetMode="External"/><Relationship Id="rId79" Type="http://schemas.openxmlformats.org/officeDocument/2006/relationships/hyperlink" Target="https://news.gov.bc.ca/releases/2022CFD0003-000171" TargetMode="External"/><Relationship Id="rId102" Type="http://schemas.openxmlformats.org/officeDocument/2006/relationships/hyperlink" Target="https://systemsawareness.digication.com/shirley-giroux-project/about" TargetMode="External"/><Relationship Id="rId123" Type="http://schemas.openxmlformats.org/officeDocument/2006/relationships/hyperlink" Target="mailto:ISCOVIDLead@fisabc.ca" TargetMode="External"/><Relationship Id="rId144" Type="http://schemas.openxmlformats.org/officeDocument/2006/relationships/hyperlink" Target="https://www.bcschoolsports.ca/news/update-pho-orders-december-17th" TargetMode="External"/><Relationship Id="rId90" Type="http://schemas.openxmlformats.org/officeDocument/2006/relationships/hyperlink" Target="https://discovermdi.ca/" TargetMode="External"/><Relationship Id="rId165" Type="http://schemas.openxmlformats.org/officeDocument/2006/relationships/hyperlink" Target="https://www2.gov.bc.ca/assets/gov/education/administration/kindergarten-to-grade-12/key-principles-and-strategies-for-k-12-mental-health-promotion.pdf" TargetMode="External"/><Relationship Id="rId186" Type="http://schemas.openxmlformats.org/officeDocument/2006/relationships/hyperlink" Target="https://bcpvpa.zoom.us/webinar/register/WN_Eb_jViGCQNWkwJI-3BW68w" TargetMode="External"/><Relationship Id="rId211" Type="http://schemas.openxmlformats.org/officeDocument/2006/relationships/hyperlink" Target="https://www2.gov.bc.ca/gov/content/covid-19/info/restrictions" TargetMode="External"/><Relationship Id="rId232" Type="http://schemas.openxmlformats.org/officeDocument/2006/relationships/hyperlink" Target="mailto:michelle_mhc@fisabc.ca" TargetMode="External"/><Relationship Id="rId253" Type="http://schemas.openxmlformats.org/officeDocument/2006/relationships/hyperlink" Target="https://www2.gov.bc.ca/assets/gov/education/administration/kindergarten-to-grade-12/safe-caring-orderly/k-12-covid-19-health-safety-guidlines.pdf" TargetMode="External"/><Relationship Id="rId274" Type="http://schemas.openxmlformats.org/officeDocument/2006/relationships/hyperlink" Target="https://www2.gov.bc.ca/assets/gov/education/administration/kindergarten-to-grade-12/safe-caring-orderly/k-12-covid-19-health-safety-guidlines.pdf" TargetMode="External"/><Relationship Id="rId27" Type="http://schemas.openxmlformats.org/officeDocument/2006/relationships/hyperlink" Target="https://fisabc.ca/media/video-gallery/" TargetMode="External"/><Relationship Id="rId48" Type="http://schemas.openxmlformats.org/officeDocument/2006/relationships/hyperlink" Target="https://fisabc.ca/scholarships-awards/" TargetMode="External"/><Relationship Id="rId69" Type="http://schemas.openxmlformats.org/officeDocument/2006/relationships/hyperlink" Target="https://www.bcschoolsports.ca/member-services/awards" TargetMode="External"/><Relationship Id="rId113" Type="http://schemas.openxmlformats.org/officeDocument/2006/relationships/hyperlink" Target="https://discovermdi.ca/" TargetMode="External"/><Relationship Id="rId134" Type="http://schemas.openxmlformats.org/officeDocument/2006/relationships/hyperlink" Target="mailto:cblesch@holycross.bc.ca" TargetMode="External"/><Relationship Id="rId80" Type="http://schemas.openxmlformats.org/officeDocument/2006/relationships/hyperlink" Target="https://www.makeafuture.ca/" TargetMode="External"/><Relationship Id="rId155" Type="http://schemas.openxmlformats.org/officeDocument/2006/relationships/hyperlink" Target="https://www.youtube.com/watch?v=uQSmm4mW1xY" TargetMode="External"/><Relationship Id="rId176" Type="http://schemas.openxmlformats.org/officeDocument/2006/relationships/hyperlink" Target="http://www.bccdc.ca/Health-Info-Site/Documents/COVID_sitrep/K12_Situation_Report/SitRep_K-12_November_2021.pdf" TargetMode="External"/><Relationship Id="rId19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01" Type="http://schemas.openxmlformats.org/officeDocument/2006/relationships/hyperlink" Target="https://us06web.zoom.us/meeting/register/tZckde6rpzwiH9XqW5YOf646eDEY_iUNVJgT" TargetMode="External"/><Relationship Id="rId222" Type="http://schemas.openxmlformats.org/officeDocument/2006/relationships/hyperlink" Target="https://engage.gov.bc.ca/govtogetherbc/consultation/studentreporting/" TargetMode="External"/><Relationship Id="rId243" Type="http://schemas.openxmlformats.org/officeDocument/2006/relationships/hyperlink" Target="https://www.surveymonkey.com/r/GBB820" TargetMode="External"/><Relationship Id="rId264" Type="http://schemas.openxmlformats.org/officeDocument/2006/relationships/hyperlink" Target="mailto:ISCovidLead@fisabc.ca" TargetMode="External"/><Relationship Id="rId285" Type="http://schemas.openxmlformats.org/officeDocument/2006/relationships/hyperlink" Target="http://www.bccdc.ca/Health-Info-Site/Documents/COVID_public_guidance/Guidance-k-12-schools.pdf" TargetMode="External"/><Relationship Id="rId17" Type="http://schemas.openxmlformats.org/officeDocument/2006/relationships/hyperlink" Target="https://mytrainingbc.ca/traumainformedpractice/" TargetMode="External"/><Relationship Id="rId38" Type="http://schemas.openxmlformats.org/officeDocument/2006/relationships/hyperlink" Target="https://fisabc.ca/professional-learning/provincial-outreach/" TargetMode="External"/><Relationship Id="rId59" Type="http://schemas.openxmlformats.org/officeDocument/2006/relationships/hyperlink" Target="https://news.gov.bc.ca/releases/2022CFD0003-000171" TargetMode="External"/><Relationship Id="rId103" Type="http://schemas.openxmlformats.org/officeDocument/2006/relationships/hyperlink" Target="https://us06web.zoom.us/meeting/register/tZEtcuytrzsqGdGaZSVcMWf6VU5sxy6XC4op" TargetMode="External"/><Relationship Id="rId124" Type="http://schemas.openxmlformats.org/officeDocument/2006/relationships/hyperlink" Target="https://www2.gov.bc.ca/gov/content/education-training/k-12/administration/program-management/independent-schools/funding" TargetMode="External"/><Relationship Id="rId70" Type="http://schemas.openxmlformats.org/officeDocument/2006/relationships/hyperlink" Target="mailto:info@bcschoolsports.ca" TargetMode="External"/><Relationship Id="rId91" Type="http://schemas.openxmlformats.org/officeDocument/2006/relationships/hyperlink" Target="mailto:michelle_mhc@fisabc.ca" TargetMode="External"/><Relationship Id="rId145" Type="http://schemas.openxmlformats.org/officeDocument/2006/relationships/hyperlink" Target="https://www2.gov.bc.ca/gov/content/education-training/k-12/teach/excellence-in-education" TargetMode="External"/><Relationship Id="rId166" Type="http://schemas.openxmlformats.org/officeDocument/2006/relationships/hyperlink" Target="https://systemsawareness.digication.com/shirley-giroux-project/about" TargetMode="External"/><Relationship Id="rId187" Type="http://schemas.openxmlformats.org/officeDocument/2006/relationships/hyperlink" Target="https://www2.gov.bc.ca/gov/content/education-training/k-12/teach/excellence-in-education" TargetMode="External"/><Relationship Id="rId1" Type="http://schemas.openxmlformats.org/officeDocument/2006/relationships/numbering" Target="numbering.xml"/><Relationship Id="rId212" Type="http://schemas.openxmlformats.org/officeDocument/2006/relationships/hyperlink" Target="http://www.bced.gov.bc.ca/bulletin/20211029/covid-update-oct-29is.pdf" TargetMode="External"/><Relationship Id="rId233" Type="http://schemas.openxmlformats.org/officeDocument/2006/relationships/hyperlink" Target="mailto:jamie_mhc@fisabc.ca" TargetMode="External"/><Relationship Id="rId254" Type="http://schemas.openxmlformats.org/officeDocument/2006/relationships/hyperlink" Target="http://www.bced.gov.bc.ca/bulletin/20210929/briefingcovid192021092816.pdf" TargetMode="External"/><Relationship Id="rId28" Type="http://schemas.openxmlformats.org/officeDocument/2006/relationships/hyperlink" Target="https://www.wellbeingbc.ca/" TargetMode="External"/><Relationship Id="rId49" Type="http://schemas.openxmlformats.org/officeDocument/2006/relationships/hyperlink" Target="https://fisabc.ca/scholarships-awards/" TargetMode="External"/><Relationship Id="rId114" Type="http://schemas.openxmlformats.org/officeDocument/2006/relationships/hyperlink" Target="https://drive.google.com/file/d/1T6V0ue9wVAUTUjIYLMC3YqwlKUOIHyaA/view" TargetMode="External"/><Relationship Id="rId275" Type="http://schemas.openxmlformats.org/officeDocument/2006/relationships/hyperlink" Target="http://www.bced.gov.bc.ca/bulletin/20210903/indepschoolclosurepolicy.pdf" TargetMode="External"/><Relationship Id="rId60" Type="http://schemas.openxmlformats.org/officeDocument/2006/relationships/hyperlink" Target="https://fisabc.ca/scholarships-awards/" TargetMode="External"/><Relationship Id="rId81" Type="http://schemas.openxmlformats.org/officeDocument/2006/relationships/hyperlink" Target="https://us06web.zoom.us/meeting/register/tZEtcuytrzsqGdGaZSVcMWf6VU5sxy6XC4op" TargetMode="External"/><Relationship Id="rId135" Type="http://schemas.openxmlformats.org/officeDocument/2006/relationships/hyperlink" Target="mailto:vidascomm@gmail.com" TargetMode="External"/><Relationship Id="rId156" Type="http://schemas.openxmlformats.org/officeDocument/2006/relationships/hyperlink" Target="https://www.surveymonkey.com/r/DG2021-22" TargetMode="External"/><Relationship Id="rId177" Type="http://schemas.openxmlformats.org/officeDocument/2006/relationships/hyperlink" Target="https://news.gov.bc.ca/files/Immunization_of_Children.pdf" TargetMode="External"/><Relationship Id="rId198" Type="http://schemas.openxmlformats.org/officeDocument/2006/relationships/hyperlink" Target="https://www2.gov.bc.ca/gov/content/education-training/k-12/teach/excellence-in-education" TargetMode="External"/><Relationship Id="rId202" Type="http://schemas.openxmlformats.org/officeDocument/2006/relationships/hyperlink" Target="https://us06web.zoom.us/meeting/register/tZIvd-6hrjsiGdRlYFDSfIdneLG3cf8ejvy-" TargetMode="External"/><Relationship Id="rId223" Type="http://schemas.openxmlformats.org/officeDocument/2006/relationships/hyperlink" Target="https://www2.gov.bc.ca/gov/content/education-training/k-12/teach/excellence-in-education" TargetMode="External"/><Relationship Id="rId244" Type="http://schemas.openxmlformats.org/officeDocument/2006/relationships/hyperlink" Target="https://us06web.zoom.us/j/84024454538?pwd=cHl4QlpXMGZyZnBnWkQydUdSTGlGdz09" TargetMode="External"/><Relationship Id="rId18" Type="http://schemas.openxmlformats.org/officeDocument/2006/relationships/hyperlink" Target="https://www.wellbeingbc.ca/" TargetMode="External"/><Relationship Id="rId39" Type="http://schemas.openxmlformats.org/officeDocument/2006/relationships/hyperlink" Target="https://www.wellbeingbc.ca/" TargetMode="External"/><Relationship Id="rId265" Type="http://schemas.openxmlformats.org/officeDocument/2006/relationships/hyperlink" Target="https://event-wizard.com/OverviewDTAVTRAOnlineNov92021/0/register/" TargetMode="External"/><Relationship Id="rId286" Type="http://schemas.openxmlformats.org/officeDocument/2006/relationships/hyperlink" Target="https://www2.gov.bc.ca/assets/gov/education/administration/kindergarten-to-grade-12/safe-caring-orderly/k-12-covid-19-health-safety-guidlines.pdf" TargetMode="External"/><Relationship Id="rId50" Type="http://schemas.openxmlformats.org/officeDocument/2006/relationships/hyperlink" Target="mailto:info@fisabc.ca" TargetMode="External"/><Relationship Id="rId104" Type="http://schemas.openxmlformats.org/officeDocument/2006/relationships/hyperlink" Target="mailto:kengleson@sd73.bc.ca" TargetMode="External"/><Relationship Id="rId125" Type="http://schemas.openxmlformats.org/officeDocument/2006/relationships/hyperlink" Target="https://fisabc.ca/scholarships-awards/" TargetMode="External"/><Relationship Id="rId146"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67" Type="http://schemas.openxmlformats.org/officeDocument/2006/relationships/hyperlink" Target="https://fisabc.ca/media/video-gallery/" TargetMode="External"/><Relationship Id="rId188" Type="http://schemas.openxmlformats.org/officeDocument/2006/relationships/hyperlink" Target="https://us06web.zoom.us/meeting/register/tZckde6rpzwiH9XqW5YOf646eDEY_iUNVJgT" TargetMode="External"/><Relationship Id="rId71" Type="http://schemas.openxmlformats.org/officeDocument/2006/relationships/hyperlink" Target="https://news.gov.bc.ca/releases/2022CFD0003-000171" TargetMode="External"/><Relationship Id="rId92" Type="http://schemas.openxmlformats.org/officeDocument/2006/relationships/hyperlink" Target="mailto:jamie_mhc@fisabc.ca" TargetMode="External"/><Relationship Id="rId213" Type="http://schemas.openxmlformats.org/officeDocument/2006/relationships/hyperlink" Target="https://www.surveymonkey.com/r/GBB820" TargetMode="External"/><Relationship Id="rId234" Type="http://schemas.openxmlformats.org/officeDocument/2006/relationships/hyperlink" Target="https://engage.gov.bc.ca/app/uploads/sites/121/2021/09/Draft-K-12-Student-Reporting-Policy.pdf" TargetMode="External"/><Relationship Id="rId2" Type="http://schemas.openxmlformats.org/officeDocument/2006/relationships/styles" Target="styles.xml"/><Relationship Id="rId29" Type="http://schemas.openxmlformats.org/officeDocument/2006/relationships/hyperlink" Target="https://www.wellbeingbc.ca/school-toolkit" TargetMode="External"/><Relationship Id="rId255" Type="http://schemas.openxmlformats.org/officeDocument/2006/relationships/hyperlink" Target="http://www.bccdc.ca/schools/Documents/Contact_tracing_schools_2021.pdf" TargetMode="External"/><Relationship Id="rId276" Type="http://schemas.openxmlformats.org/officeDocument/2006/relationships/hyperlink" Target="https://www.yvr.ca/en/students" TargetMode="External"/><Relationship Id="rId40" Type="http://schemas.openxmlformats.org/officeDocument/2006/relationships/hyperlink" Target="https://www.wellbeingbc.ca/school-toolkit" TargetMode="External"/><Relationship Id="rId115" Type="http://schemas.openxmlformats.org/officeDocument/2006/relationships/hyperlink" Target="mailto:michelle_mhc@fisabc.ca" TargetMode="External"/><Relationship Id="rId136" Type="http://schemas.openxmlformats.org/officeDocument/2006/relationships/hyperlink" Target="mailto:mike.campbell@kcschool.ca" TargetMode="External"/><Relationship Id="rId157" Type="http://schemas.openxmlformats.org/officeDocument/2006/relationships/hyperlink" Target="https://www.youtube.com/watch?v=EC5ebtCDI6U" TargetMode="External"/><Relationship Id="rId178" Type="http://schemas.openxmlformats.org/officeDocument/2006/relationships/hyperlink" Target="https://news.gov.bc.ca/releases/2021HLTH0209-002245" TargetMode="External"/><Relationship Id="rId61" Type="http://schemas.openxmlformats.org/officeDocument/2006/relationships/hyperlink" Target="https://www.bcschoolsports.ca/member-services/scholarships" TargetMode="External"/><Relationship Id="rId82" Type="http://schemas.openxmlformats.org/officeDocument/2006/relationships/hyperlink" Target="https://fisabc.ca/media/video-gallery/" TargetMode="External"/><Relationship Id="rId199" Type="http://schemas.openxmlformats.org/officeDocument/2006/relationships/hyperlink" Target="https://travel.gc.ca/travel-covid/travel-restrictions/exemptions" TargetMode="External"/><Relationship Id="rId203" Type="http://schemas.openxmlformats.org/officeDocument/2006/relationships/hyperlink" Target="https://us06web.zoom.us/meeting/register/tZMudu6gqTIuE9S12iuFmOhMausNArPWExyG" TargetMode="External"/><Relationship Id="rId19" Type="http://schemas.openxmlformats.org/officeDocument/2006/relationships/hyperlink" Target="https://www.wellbeingbc.ca/school-toolkit" TargetMode="External"/><Relationship Id="rId224" Type="http://schemas.openxmlformats.org/officeDocument/2006/relationships/hyperlink" Target="http://www.bced.gov.bc.ca/bulletin/20211022/vaccinepolicyguidelinedraftoct222021.pdf" TargetMode="External"/><Relationship Id="rId245" Type="http://schemas.openxmlformats.org/officeDocument/2006/relationships/hyperlink" Target="https://event-wizard.com/SocialMediaAwarenessStudentNov222021/0/register/" TargetMode="External"/><Relationship Id="rId266" Type="http://schemas.openxmlformats.org/officeDocument/2006/relationships/hyperlink" Target="https://event-wizard.com/OverviewDTAVTRAOnlineJan242022/0/register/" TargetMode="External"/><Relationship Id="rId287" Type="http://schemas.openxmlformats.org/officeDocument/2006/relationships/hyperlink" Target="http://www.bccdc.ca/health-info/diseases-conditions/covid-19/data" TargetMode="External"/><Relationship Id="rId30" Type="http://schemas.openxmlformats.org/officeDocument/2006/relationships/hyperlink" Target="https://www.surveymonkey.com/r/HSRATRequest" TargetMode="External"/><Relationship Id="rId105" Type="http://schemas.openxmlformats.org/officeDocument/2006/relationships/hyperlink" Target="https://www.canpalm.com/canpalm-1000-ml-hand-sanitizer-1-1-1-1" TargetMode="External"/><Relationship Id="rId126" Type="http://schemas.openxmlformats.org/officeDocument/2006/relationships/hyperlink" Target="mailto:metrovandas@gmail.com" TargetMode="External"/><Relationship Id="rId147" Type="http://schemas.openxmlformats.org/officeDocument/2006/relationships/hyperlink" Target="https://www.canada.ca/en/immigration-refugees-citizenship/services/coronavirus-covid19/students.html" TargetMode="External"/><Relationship Id="rId168" Type="http://schemas.openxmlformats.org/officeDocument/2006/relationships/hyperlink" Target="https://ca01web.zoom.us/meeting/register/u5Ytf-ipqz0iHNYVWQf-A9hB5wvIshB0p9zT" TargetMode="External"/><Relationship Id="rId51" Type="http://schemas.openxmlformats.org/officeDocument/2006/relationships/hyperlink" Target="https://www.bcschoolsports.ca/member-services/scholarships" TargetMode="External"/><Relationship Id="rId72" Type="http://schemas.openxmlformats.org/officeDocument/2006/relationships/hyperlink" Target="https://fisabc.ca/scholarships-awards/" TargetMode="External"/><Relationship Id="rId93" Type="http://schemas.openxmlformats.org/officeDocument/2006/relationships/hyperlink" Target="https://fisabc.ca/media/video-gallery/" TargetMode="External"/><Relationship Id="rId189" Type="http://schemas.openxmlformats.org/officeDocument/2006/relationships/hyperlink" Target="https://us06web.zoom.us/meeting/register/tZIvd-6hrjsiGdRlYFDSfIdneLG3cf8ejvy-" TargetMode="External"/><Relationship Id="rId3" Type="http://schemas.openxmlformats.org/officeDocument/2006/relationships/settings" Target="settings.xml"/><Relationship Id="rId214"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235" Type="http://schemas.openxmlformats.org/officeDocument/2006/relationships/hyperlink" Target="https://engage.gov.bc.ca/govtogetherbc/consultation/studentreporting/" TargetMode="External"/><Relationship Id="rId256" Type="http://schemas.openxmlformats.org/officeDocument/2006/relationships/hyperlink" Target="mailto:ISCOVIDLead@fisabc.ca" TargetMode="External"/><Relationship Id="rId277" Type="http://schemas.openxmlformats.org/officeDocument/2006/relationships/hyperlink" Target="https://fisabc.ca/services/schools/formsapplications/" TargetMode="External"/><Relationship Id="rId116" Type="http://schemas.openxmlformats.org/officeDocument/2006/relationships/hyperlink" Target="mailto:jamie_mhc@fisabc.ca" TargetMode="External"/><Relationship Id="rId137" Type="http://schemas.openxmlformats.org/officeDocument/2006/relationships/hyperlink" Target="https://us3.campaign-archive.com/?e=__test_email__&amp;u=0984bae2b3c2e600765133706&amp;id=eba7298ef1" TargetMode="External"/><Relationship Id="rId158" Type="http://schemas.openxmlformats.org/officeDocument/2006/relationships/hyperlink" Target="https://www2.gov.bc.ca/gov/content/education-training/k-12/teach/excellence-in-education" TargetMode="External"/><Relationship Id="rId20" Type="http://schemas.openxmlformats.org/officeDocument/2006/relationships/hyperlink" Target="https://www.surveymonkey.com/r/HSRATRequest" TargetMode="External"/><Relationship Id="rId41" Type="http://schemas.openxmlformats.org/officeDocument/2006/relationships/hyperlink" Target="https://www2.gov.bc.ca/assets/gov/education/kindergarten-to-grade-12/support/online-learning/what_we_heard_report-_ol_learning_parent_forums.pdf" TargetMode="External"/><Relationship Id="rId62" Type="http://schemas.openxmlformats.org/officeDocument/2006/relationships/hyperlink" Target="https://www.bcschoolsports.ca/member-services/awards" TargetMode="External"/><Relationship Id="rId83" Type="http://schemas.openxmlformats.org/officeDocument/2006/relationships/hyperlink" Target="https://systemsawareness.digication.com/shirley-giroux-project/about" TargetMode="External"/><Relationship Id="rId179" Type="http://schemas.openxmlformats.org/officeDocument/2006/relationships/hyperlink" Target="https://us06web.zoom.us/meeting/register/tZckde6rpzwiH9XqW5YOf646eDEY_iUNVJgT" TargetMode="External"/><Relationship Id="rId190" Type="http://schemas.openxmlformats.org/officeDocument/2006/relationships/hyperlink" Target="https://us06web.zoom.us/meeting/register/tZMudu6gqTIuE9S12iuFmOhMausNArPWExyG" TargetMode="External"/><Relationship Id="rId20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25" Type="http://schemas.openxmlformats.org/officeDocument/2006/relationships/hyperlink" Target="https://bchumanrights.ca/wp-content/uploads/COVID-19-vaccine-guidance-Oct.-2021-update.pdf" TargetMode="External"/><Relationship Id="rId246" Type="http://schemas.openxmlformats.org/officeDocument/2006/relationships/hyperlink" Target="https://event-wizard.com/SocialMediaAwarenessStudentNov222021pm/0/register/" TargetMode="External"/><Relationship Id="rId267" Type="http://schemas.openxmlformats.org/officeDocument/2006/relationships/hyperlink" Target="https://www.bced.gov.bc.ca/erase/documents/erase-training-schedule-2021-22.pdf" TargetMode="External"/><Relationship Id="rId288" Type="http://schemas.openxmlformats.org/officeDocument/2006/relationships/hyperlink" Target="https://fisabc.ca/services/schools/formsapplications/" TargetMode="External"/><Relationship Id="rId106" Type="http://schemas.openxmlformats.org/officeDocument/2006/relationships/hyperlink" Target="https://www.canpalm.com/canpalm-250-ml-hand-sanitizer" TargetMode="External"/><Relationship Id="rId127" Type="http://schemas.openxmlformats.org/officeDocument/2006/relationships/hyperlink" Target="mailto:cblesch@holycross.bc.ca" TargetMode="External"/><Relationship Id="rId10" Type="http://schemas.openxmlformats.org/officeDocument/2006/relationships/hyperlink" Target="https://www2.gov.bc.ca/gov/content/education-training/k-12/administration/legislation-policy/independent-schools/educational-standards-for-independent-schools" TargetMode="External"/><Relationship Id="rId31" Type="http://schemas.openxmlformats.org/officeDocument/2006/relationships/hyperlink" Target="https://www2.gov.bc.ca/gov/content/family-social-supports/caring-for-young-children/childcarebc-engagement/focus-group-registration" TargetMode="External"/><Relationship Id="rId52" Type="http://schemas.openxmlformats.org/officeDocument/2006/relationships/hyperlink" Target="https://www.bcschoolsports.ca/member-services/awards" TargetMode="External"/><Relationship Id="rId73" Type="http://schemas.openxmlformats.org/officeDocument/2006/relationships/hyperlink" Target="https://foundrybc.ca/" TargetMode="External"/><Relationship Id="rId94" Type="http://schemas.openxmlformats.org/officeDocument/2006/relationships/hyperlink" Target="https://systemsawareness.digication.com/shirley-giroux-project/about" TargetMode="External"/><Relationship Id="rId148" Type="http://schemas.openxmlformats.org/officeDocument/2006/relationships/hyperlink" Target="http://www.bced.gov.bc.ca/bulletin/20211216/covid-2.pdf" TargetMode="External"/><Relationship Id="rId169" Type="http://schemas.openxmlformats.org/officeDocument/2006/relationships/hyperlink" Target="https://bcpvpa.zoom.us/webinar/register/WN_Eb_jViGCQNWkwJI-3BW68w" TargetMode="External"/><Relationship Id="rId4" Type="http://schemas.openxmlformats.org/officeDocument/2006/relationships/webSettings" Target="webSettings.xml"/><Relationship Id="rId180" Type="http://schemas.openxmlformats.org/officeDocument/2006/relationships/hyperlink" Target="https://us06web.zoom.us/meeting/register/tZIvd-6hrjsiGdRlYFDSfIdneLG3cf8ejvy-" TargetMode="External"/><Relationship Id="rId215" Type="http://schemas.openxmlformats.org/officeDocument/2006/relationships/hyperlink" Target="https://www.surveymonkey.com/r/G6V7LCX" TargetMode="External"/><Relationship Id="rId236" Type="http://schemas.openxmlformats.org/officeDocument/2006/relationships/hyperlink" Target="https://www2.gov.bc.ca/gov/content/education-training/k-12/teach/excellence-in-education" TargetMode="External"/><Relationship Id="rId257" Type="http://schemas.openxmlformats.org/officeDocument/2006/relationships/hyperlink" Target="mailto:Denise.Philadelphia@gov.bc.ca" TargetMode="External"/><Relationship Id="rId278" Type="http://schemas.openxmlformats.org/officeDocument/2006/relationships/hyperlink" Target="https://fisabc.ca/services/schools/formsapplications/" TargetMode="External"/><Relationship Id="rId42" Type="http://schemas.openxmlformats.org/officeDocument/2006/relationships/hyperlink" Target="https://www2.gov.bc.ca/gov/content/family-social-supports/caring-for-young-children/childcarebc-engagement/focus-group-registration" TargetMode="External"/><Relationship Id="rId84" Type="http://schemas.openxmlformats.org/officeDocument/2006/relationships/hyperlink" Target="https://foundrybc.ca/" TargetMode="External"/><Relationship Id="rId138" Type="http://schemas.openxmlformats.org/officeDocument/2006/relationships/hyperlink" Target="https://news.gov.bc.ca/releases/2021HLTH0079-002460" TargetMode="External"/><Relationship Id="rId191" Type="http://schemas.openxmlformats.org/officeDocument/2006/relationships/hyperlink" Target="https://us06web.zoom.us/j/86794420461?pwd=WmJ4aGJETmpEWDhqdGplc0duUHVDUT09" TargetMode="External"/><Relationship Id="rId205" Type="http://schemas.openxmlformats.org/officeDocument/2006/relationships/hyperlink" Target="https://www2.gov.bc.ca/gov/content/education-training/k-12/teach/excellence-in-education" TargetMode="External"/><Relationship Id="rId247" Type="http://schemas.openxmlformats.org/officeDocument/2006/relationships/hyperlink" Target="http://www.bced.gov.bc.ca/erase/documents/erase-training-schedule.pdf" TargetMode="External"/><Relationship Id="rId107" Type="http://schemas.openxmlformats.org/officeDocument/2006/relationships/hyperlink" Target="https://www.maxill.com/ca/hx2-hard-surface-disinfectant.html" TargetMode="External"/><Relationship Id="rId289" Type="http://schemas.openxmlformats.org/officeDocument/2006/relationships/hyperlink" Target="https://www2.gov.bc.ca/gov/content/education-training/k-12/support/scholarships/scholarships-awards/bc-international-student-ambassador" TargetMode="External"/><Relationship Id="rId11" Type="http://schemas.openxmlformats.org/officeDocument/2006/relationships/hyperlink" Target="https://drive.google.com/file/d/14efhs19ZtzueEUjVsg5uw9dAT8oE41kT/view?usp=sharing" TargetMode="External"/><Relationship Id="rId53" Type="http://schemas.openxmlformats.org/officeDocument/2006/relationships/hyperlink" Target="mailto:info@bcschoolsports.ca" TargetMode="External"/><Relationship Id="rId149" Type="http://schemas.openxmlformats.org/officeDocument/2006/relationships/hyperlink" Target="https://fisabc.ca/independent-school-covid-19-exposure-report-form/" TargetMode="External"/><Relationship Id="rId95" Type="http://schemas.openxmlformats.org/officeDocument/2006/relationships/hyperlink" Target="https://us06web.zoom.us/meeting/register/tZEtcuytrzsqGdGaZSVcMWf6VU5sxy6XC4op" TargetMode="External"/><Relationship Id="rId160" Type="http://schemas.openxmlformats.org/officeDocument/2006/relationships/hyperlink" Target="https://news.gov.bc.ca/files/Immunization_of_Children.pdf" TargetMode="External"/><Relationship Id="rId216" Type="http://schemas.openxmlformats.org/officeDocument/2006/relationships/hyperlink" Target="https://docs.google.com/forms/d/19R53izm5BbS4qdNRZPkMpvTxmwbm_iy4zlHdMbzQgaU/edit" TargetMode="External"/><Relationship Id="rId258" Type="http://schemas.openxmlformats.org/officeDocument/2006/relationships/hyperlink" Target="https://www2.gov.bc.ca/assets/gov/education/administration/kindergarten-to-grade-12/key-principles-and-strategies-for-k-12-mental-health-promotion.pdf" TargetMode="External"/><Relationship Id="rId22" Type="http://schemas.openxmlformats.org/officeDocument/2006/relationships/hyperlink" Target="https://fisabc.ca/scholarships-awards/" TargetMode="External"/><Relationship Id="rId64" Type="http://schemas.openxmlformats.org/officeDocument/2006/relationships/hyperlink" Target="https://www2.gov.bc.ca/assets/gov/health/about-bc-s-health-care-system/office-of-the-provincial-health-officer/covid-19/covid-19-pho-order-gatherings-events.pdf" TargetMode="External"/><Relationship Id="rId118" Type="http://schemas.openxmlformats.org/officeDocument/2006/relationships/hyperlink" Target="https://systemsawareness.digication.com/shirley-giroux-project/about" TargetMode="External"/><Relationship Id="rId171" Type="http://schemas.openxmlformats.org/officeDocument/2006/relationships/hyperlink" Target="https://www2.gov.bc.ca/gov/content/education-training/k-12/teach/excellence-in-education" TargetMode="External"/><Relationship Id="rId227" Type="http://schemas.openxmlformats.org/officeDocument/2006/relationships/hyperlink" Target="http://www.bced.gov.bc.ca/bulletin/20210924/2021-09-24---covid-update-is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34390</Words>
  <Characters>196029</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cp:revision>
  <dcterms:created xsi:type="dcterms:W3CDTF">2022-04-01T17:45:00Z</dcterms:created>
  <dcterms:modified xsi:type="dcterms:W3CDTF">2022-04-01T17:45:00Z</dcterms:modified>
</cp:coreProperties>
</file>